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03096"/>
        </w:rPr>
        <w:t>Internal</w:t>
      </w:r>
      <w:r>
        <w:rPr>
          <w:color w:val="003096"/>
          <w:spacing w:val="-6"/>
        </w:rPr>
        <w:t> </w:t>
      </w:r>
      <w:r>
        <w:rPr>
          <w:color w:val="003096"/>
        </w:rPr>
        <w:t>appeals</w:t>
      </w:r>
      <w:r>
        <w:rPr>
          <w:color w:val="003096"/>
          <w:spacing w:val="-4"/>
        </w:rPr>
        <w:t> form</w:t>
      </w:r>
    </w:p>
    <w:p>
      <w:pPr>
        <w:pStyle w:val="Heading2"/>
        <w:spacing w:line="367" w:lineRule="auto"/>
      </w:pPr>
      <w:r>
        <w:rPr/>
        <w:t>This</w:t>
      </w:r>
      <w:r>
        <w:rPr>
          <w:spacing w:val="-6"/>
        </w:rPr>
        <w:t> </w:t>
      </w:r>
      <w:r>
        <w:rPr/>
        <w:t>form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8"/>
        </w:rPr>
        <w:t> </w:t>
      </w:r>
      <w:r>
        <w:rPr/>
        <w:t>completed</w:t>
      </w:r>
      <w:r>
        <w:rPr>
          <w:spacing w:val="-18"/>
        </w:rPr>
        <w:t> </w:t>
      </w:r>
      <w:r>
        <w:rPr/>
        <w:t>in</w:t>
      </w:r>
      <w:r>
        <w:rPr>
          <w:spacing w:val="-6"/>
        </w:rPr>
        <w:t> </w:t>
      </w:r>
      <w:r>
        <w:rPr/>
        <w:t>all</w:t>
      </w:r>
      <w:r>
        <w:rPr>
          <w:spacing w:val="-11"/>
        </w:rPr>
        <w:t> </w:t>
      </w:r>
      <w:r>
        <w:rPr/>
        <w:t>cases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lodge</w:t>
      </w:r>
      <w:r>
        <w:rPr>
          <w:spacing w:val="-8"/>
        </w:rPr>
        <w:t> </w:t>
      </w:r>
      <w:r>
        <w:rPr/>
        <w:t>an</w:t>
      </w:r>
      <w:r>
        <w:rPr>
          <w:spacing w:val="-1"/>
        </w:rPr>
        <w:t> </w:t>
      </w:r>
      <w:r>
        <w:rPr/>
        <w:t>appeal. Please tick to indicate what the appeal is against:</w:t>
      </w:r>
    </w:p>
    <w:p>
      <w:pPr>
        <w:pStyle w:val="ListParagraph"/>
        <w:numPr>
          <w:ilvl w:val="0"/>
          <w:numId w:val="1"/>
        </w:numPr>
        <w:tabs>
          <w:tab w:pos="1574" w:val="left" w:leader="none"/>
        </w:tabs>
        <w:spacing w:line="240" w:lineRule="auto" w:before="4" w:after="0"/>
        <w:ind w:left="1574" w:right="0" w:hanging="520"/>
        <w:jc w:val="left"/>
        <w:rPr>
          <w:sz w:val="18"/>
        </w:rPr>
      </w:pP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internal</w:t>
      </w:r>
      <w:r>
        <w:rPr>
          <w:spacing w:val="-4"/>
          <w:sz w:val="18"/>
        </w:rPr>
        <w:t> </w:t>
      </w:r>
      <w:r>
        <w:rPr>
          <w:sz w:val="18"/>
        </w:rPr>
        <w:t>assessment</w:t>
      </w:r>
      <w:r>
        <w:rPr>
          <w:spacing w:val="-1"/>
          <w:sz w:val="18"/>
        </w:rPr>
        <w:t> </w:t>
      </w:r>
      <w:r>
        <w:rPr>
          <w:sz w:val="18"/>
        </w:rPr>
        <w:t>decision</w:t>
      </w:r>
      <w:r>
        <w:rPr>
          <w:spacing w:val="1"/>
          <w:sz w:val="18"/>
        </w:rPr>
        <w:t> </w:t>
      </w:r>
      <w:r>
        <w:rPr>
          <w:sz w:val="18"/>
        </w:rPr>
        <w:t>and /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request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review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marking</w:t>
      </w:r>
    </w:p>
    <w:p>
      <w:pPr>
        <w:pStyle w:val="ListParagraph"/>
        <w:numPr>
          <w:ilvl w:val="0"/>
          <w:numId w:val="1"/>
        </w:numPr>
        <w:tabs>
          <w:tab w:pos="1574" w:val="left" w:leader="none"/>
        </w:tabs>
        <w:spacing w:line="240" w:lineRule="auto" w:before="127" w:after="0"/>
        <w:ind w:left="874" w:right="439" w:firstLine="179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centre’</w:t>
      </w:r>
      <w:r>
        <w:rPr>
          <w:spacing w:val="-2"/>
          <w:sz w:val="18"/>
        </w:rPr>
        <w:t> </w:t>
      </w:r>
      <w:r>
        <w:rPr>
          <w:sz w:val="18"/>
        </w:rPr>
        <w:t>s</w:t>
      </w:r>
      <w:r>
        <w:rPr>
          <w:spacing w:val="-2"/>
          <w:sz w:val="18"/>
        </w:rPr>
        <w:t> </w:t>
      </w:r>
      <w:r>
        <w:rPr>
          <w:sz w:val="18"/>
        </w:rPr>
        <w:t>decision</w:t>
      </w:r>
      <w:r>
        <w:rPr>
          <w:spacing w:val="-5"/>
          <w:sz w:val="18"/>
        </w:rPr>
        <w:t> </w:t>
      </w:r>
      <w:r>
        <w:rPr>
          <w:sz w:val="18"/>
        </w:rPr>
        <w:t>not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support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enquiry</w:t>
      </w:r>
      <w:r>
        <w:rPr>
          <w:spacing w:val="-4"/>
          <w:sz w:val="18"/>
        </w:rPr>
        <w:t> </w:t>
      </w:r>
      <w:r>
        <w:rPr>
          <w:sz w:val="18"/>
        </w:rPr>
        <w:t>about results</w:t>
      </w:r>
      <w:r>
        <w:rPr>
          <w:spacing w:val="-2"/>
          <w:sz w:val="18"/>
        </w:rPr>
        <w:t> </w:t>
      </w:r>
      <w:r>
        <w:rPr>
          <w:sz w:val="18"/>
        </w:rPr>
        <w:t>(a</w:t>
      </w:r>
      <w:r>
        <w:rPr>
          <w:spacing w:val="-5"/>
          <w:sz w:val="18"/>
        </w:rPr>
        <w:t> </w:t>
      </w:r>
      <w:r>
        <w:rPr>
          <w:sz w:val="18"/>
        </w:rPr>
        <w:t>clerical</w:t>
      </w:r>
      <w:r>
        <w:rPr>
          <w:spacing w:val="-2"/>
          <w:sz w:val="18"/>
        </w:rPr>
        <w:t> </w:t>
      </w:r>
      <w:r>
        <w:rPr>
          <w:sz w:val="18"/>
        </w:rPr>
        <w:t>re-check,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review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marking,</w:t>
      </w:r>
      <w:r>
        <w:rPr>
          <w:spacing w:val="-5"/>
          <w:sz w:val="18"/>
        </w:rPr>
        <w:t> </w:t>
      </w:r>
      <w:r>
        <w:rPr>
          <w:sz w:val="18"/>
        </w:rPr>
        <w:t>a review of moderation or an appeal)</w:t>
      </w:r>
    </w:p>
    <w:p>
      <w:pPr>
        <w:pStyle w:val="ListParagraph"/>
        <w:numPr>
          <w:ilvl w:val="0"/>
          <w:numId w:val="1"/>
        </w:numPr>
        <w:tabs>
          <w:tab w:pos="1574" w:val="left" w:leader="none"/>
        </w:tabs>
        <w:spacing w:line="240" w:lineRule="auto" w:before="128" w:after="0"/>
        <w:ind w:left="1574" w:right="0" w:hanging="520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centre’s</w:t>
      </w:r>
      <w:r>
        <w:rPr>
          <w:spacing w:val="-6"/>
          <w:sz w:val="18"/>
        </w:rPr>
        <w:t> </w:t>
      </w:r>
      <w:r>
        <w:rPr>
          <w:sz w:val="18"/>
        </w:rPr>
        <w:t>decision</w:t>
      </w:r>
      <w:r>
        <w:rPr>
          <w:spacing w:val="-5"/>
          <w:sz w:val="18"/>
        </w:rPr>
        <w:t> </w:t>
      </w:r>
      <w:r>
        <w:rPr>
          <w:sz w:val="18"/>
        </w:rPr>
        <w:t>relating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access</w:t>
      </w:r>
      <w:r>
        <w:rPr>
          <w:spacing w:val="-6"/>
          <w:sz w:val="18"/>
        </w:rPr>
        <w:t> </w:t>
      </w:r>
      <w:r>
        <w:rPr>
          <w:sz w:val="18"/>
        </w:rPr>
        <w:t>arrangements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z w:val="18"/>
        </w:rPr>
        <w:t>special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consideration</w:t>
      </w:r>
    </w:p>
    <w:p>
      <w:pPr>
        <w:pStyle w:val="ListParagraph"/>
        <w:numPr>
          <w:ilvl w:val="0"/>
          <w:numId w:val="1"/>
        </w:numPr>
        <w:tabs>
          <w:tab w:pos="1574" w:val="left" w:leader="none"/>
        </w:tabs>
        <w:spacing w:line="240" w:lineRule="auto" w:before="124" w:after="0"/>
        <w:ind w:left="1574" w:right="0" w:hanging="520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outcome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enquiry</w:t>
      </w:r>
      <w:r>
        <w:rPr>
          <w:spacing w:val="-9"/>
          <w:sz w:val="18"/>
        </w:rPr>
        <w:t> </w:t>
      </w:r>
      <w:r>
        <w:rPr>
          <w:sz w:val="18"/>
        </w:rPr>
        <w:t>about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results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70" w:after="0"/>
        <w:ind w:left="1113" w:right="0" w:hanging="359"/>
        <w:jc w:val="left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decision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reject</w:t>
      </w:r>
      <w:r>
        <w:rPr>
          <w:spacing w:val="-3"/>
          <w:sz w:val="18"/>
        </w:rPr>
        <w:t> </w:t>
      </w:r>
      <w:r>
        <w:rPr>
          <w:sz w:val="18"/>
        </w:rPr>
        <w:t>candidate’s</w:t>
      </w:r>
      <w:r>
        <w:rPr>
          <w:spacing w:val="-1"/>
          <w:sz w:val="18"/>
        </w:rPr>
        <w:t> </w:t>
      </w:r>
      <w:r>
        <w:rPr>
          <w:sz w:val="18"/>
        </w:rPr>
        <w:t>work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grounds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malpractice</w:t>
      </w:r>
    </w:p>
    <w:p>
      <w:pPr>
        <w:pStyle w:val="BodyText"/>
        <w:spacing w:before="89"/>
        <w:ind w:left="0" w:firstLine="0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815"/>
        <w:gridCol w:w="2016"/>
        <w:gridCol w:w="3358"/>
      </w:tblGrid>
      <w:tr>
        <w:trPr>
          <w:trHeight w:val="813" w:hRule="atLeast"/>
        </w:trPr>
        <w:tc>
          <w:tcPr>
            <w:tcW w:w="1800" w:type="dxa"/>
            <w:shd w:val="clear" w:color="auto" w:fill="FF3000"/>
          </w:tcPr>
          <w:p>
            <w:pPr>
              <w:pStyle w:val="TableParagraph"/>
              <w:spacing w:line="288" w:lineRule="auto" w:before="189"/>
              <w:ind w:righ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 </w:t>
            </w:r>
            <w:r>
              <w:rPr>
                <w:b/>
                <w:color w:val="FFFFFF"/>
                <w:spacing w:val="-2"/>
                <w:sz w:val="20"/>
              </w:rPr>
              <w:t>appellant</w:t>
            </w:r>
          </w:p>
        </w:tc>
        <w:tc>
          <w:tcPr>
            <w:tcW w:w="281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shd w:val="clear" w:color="auto" w:fill="FF3000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Candidate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  <w:p>
            <w:pPr>
              <w:pStyle w:val="TableParagraph"/>
              <w:spacing w:line="278" w:lineRule="exact"/>
              <w:ind w:right="856"/>
              <w:rPr>
                <w:sz w:val="20"/>
              </w:rPr>
            </w:pP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different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to </w:t>
            </w:r>
            <w:r>
              <w:rPr>
                <w:color w:val="FFFFFF"/>
                <w:spacing w:val="-2"/>
                <w:sz w:val="20"/>
              </w:rPr>
              <w:t>appellant</w:t>
            </w:r>
          </w:p>
        </w:tc>
        <w:tc>
          <w:tcPr>
            <w:tcW w:w="33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03" w:hRule="atLeast"/>
        </w:trPr>
        <w:tc>
          <w:tcPr>
            <w:tcW w:w="1800" w:type="dxa"/>
            <w:shd w:val="clear" w:color="auto" w:fill="DDD9C3"/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Awarding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body</w:t>
            </w:r>
          </w:p>
        </w:tc>
        <w:tc>
          <w:tcPr>
            <w:tcW w:w="281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shd w:val="clear" w:color="auto" w:fill="DDD9C3"/>
          </w:tcPr>
          <w:p>
            <w:pPr>
              <w:pStyle w:val="TableParagraph"/>
              <w:spacing w:before="140"/>
              <w:rPr>
                <w:sz w:val="20"/>
              </w:rPr>
            </w:pPr>
            <w:r>
              <w:rPr>
                <w:spacing w:val="-2"/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33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44" w:hRule="atLeast"/>
        </w:trPr>
        <w:tc>
          <w:tcPr>
            <w:tcW w:w="1800" w:type="dxa"/>
            <w:shd w:val="clear" w:color="auto" w:fill="DDD9C3"/>
          </w:tcPr>
          <w:p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281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shd w:val="clear" w:color="auto" w:fill="DDD9C3"/>
          </w:tcPr>
          <w:p>
            <w:pPr>
              <w:pStyle w:val="TableParagraph"/>
              <w:spacing w:before="227"/>
              <w:rPr>
                <w:sz w:val="20"/>
              </w:rPr>
            </w:pPr>
            <w:r>
              <w:rPr>
                <w:spacing w:val="-2"/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33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254" w:hRule="atLeast"/>
        </w:trPr>
        <w:tc>
          <w:tcPr>
            <w:tcW w:w="9989" w:type="dxa"/>
            <w:gridSpan w:val="4"/>
          </w:tcPr>
          <w:p>
            <w:pPr>
              <w:pStyle w:val="TableParagraph"/>
              <w:spacing w:line="223" w:lineRule="exact" w:before="5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grounds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appeal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below:</w:t>
            </w:r>
          </w:p>
          <w:p>
            <w:pPr>
              <w:pStyle w:val="TableParagraph"/>
              <w:spacing w:line="177" w:lineRule="exact"/>
              <w:ind w:left="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Continue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overleaf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if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necessary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14"/>
              <w:ind w:left="0"/>
              <w:rPr>
                <w:sz w:val="16"/>
              </w:rPr>
            </w:pPr>
          </w:p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color w:val="FF3000"/>
                <w:spacing w:val="-6"/>
                <w:sz w:val="18"/>
              </w:rPr>
              <w:t>Appeal</w:t>
            </w:r>
            <w:r>
              <w:rPr>
                <w:b/>
                <w:color w:val="FF3000"/>
                <w:spacing w:val="-5"/>
                <w:sz w:val="18"/>
              </w:rPr>
              <w:t> </w:t>
            </w:r>
            <w:r>
              <w:rPr>
                <w:b/>
                <w:color w:val="FF3000"/>
                <w:spacing w:val="-6"/>
                <w:sz w:val="18"/>
              </w:rPr>
              <w:t>against</w:t>
            </w:r>
            <w:r>
              <w:rPr>
                <w:b/>
                <w:color w:val="FF3000"/>
                <w:spacing w:val="-1"/>
                <w:sz w:val="18"/>
              </w:rPr>
              <w:t> </w:t>
            </w:r>
            <w:r>
              <w:rPr>
                <w:b/>
                <w:color w:val="FF3000"/>
                <w:spacing w:val="-6"/>
                <w:sz w:val="18"/>
              </w:rPr>
              <w:t>decision</w:t>
            </w:r>
            <w:r>
              <w:rPr>
                <w:b/>
                <w:color w:val="FF3000"/>
                <w:spacing w:val="-3"/>
                <w:sz w:val="18"/>
              </w:rPr>
              <w:t> </w:t>
            </w:r>
            <w:r>
              <w:rPr>
                <w:b/>
                <w:color w:val="FF3000"/>
                <w:spacing w:val="-6"/>
                <w:sz w:val="18"/>
              </w:rPr>
              <w:t>regarding</w:t>
            </w:r>
            <w:r>
              <w:rPr>
                <w:b/>
                <w:color w:val="FF3000"/>
                <w:spacing w:val="-2"/>
                <w:sz w:val="18"/>
              </w:rPr>
              <w:t> </w:t>
            </w:r>
            <w:r>
              <w:rPr>
                <w:b/>
                <w:color w:val="FF3000"/>
                <w:spacing w:val="-6"/>
                <w:sz w:val="18"/>
              </w:rPr>
              <w:t>malpractice</w:t>
            </w:r>
          </w:p>
          <w:p>
            <w:pPr>
              <w:pStyle w:val="TableParagraph"/>
              <w:spacing w:line="230" w:lineRule="exact"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Appellant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declaration</w:t>
            </w:r>
          </w:p>
          <w:p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here,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confirming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understand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appeal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decide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whether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was</w:t>
            </w:r>
            <w:r>
              <w:rPr>
                <w:spacing w:val="-2"/>
                <w:sz w:val="16"/>
              </w:rPr>
              <w:t> malpractice.</w:t>
            </w:r>
          </w:p>
          <w:p>
            <w:pPr>
              <w:pStyle w:val="TableParagraph"/>
              <w:spacing w:line="230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</w:p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>
        <w:trPr>
          <w:trHeight w:val="1362" w:hRule="atLeast"/>
        </w:trPr>
        <w:tc>
          <w:tcPr>
            <w:tcW w:w="9989" w:type="dxa"/>
            <w:gridSpan w:val="4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color w:val="FF3000"/>
                <w:sz w:val="18"/>
              </w:rPr>
              <w:t>Appeal</w:t>
            </w:r>
            <w:r>
              <w:rPr>
                <w:b/>
                <w:color w:val="FF3000"/>
                <w:spacing w:val="-13"/>
                <w:sz w:val="18"/>
              </w:rPr>
              <w:t> </w:t>
            </w:r>
            <w:r>
              <w:rPr>
                <w:b/>
                <w:color w:val="FF3000"/>
                <w:sz w:val="18"/>
              </w:rPr>
              <w:t>against</w:t>
            </w:r>
            <w:r>
              <w:rPr>
                <w:b/>
                <w:color w:val="FF3000"/>
                <w:spacing w:val="-6"/>
                <w:sz w:val="18"/>
              </w:rPr>
              <w:t> </w:t>
            </w:r>
            <w:r>
              <w:rPr>
                <w:b/>
                <w:color w:val="FF3000"/>
                <w:sz w:val="18"/>
              </w:rPr>
              <w:t>internal</w:t>
            </w:r>
            <w:r>
              <w:rPr>
                <w:b/>
                <w:color w:val="FF3000"/>
                <w:spacing w:val="-2"/>
                <w:sz w:val="18"/>
              </w:rPr>
              <w:t> </w:t>
            </w:r>
            <w:r>
              <w:rPr>
                <w:b/>
                <w:color w:val="FF3000"/>
                <w:sz w:val="18"/>
              </w:rPr>
              <w:t>assessment</w:t>
            </w:r>
            <w:r>
              <w:rPr>
                <w:b/>
                <w:color w:val="FF3000"/>
                <w:spacing w:val="-3"/>
                <w:sz w:val="18"/>
              </w:rPr>
              <w:t> </w:t>
            </w:r>
            <w:r>
              <w:rPr>
                <w:b/>
                <w:color w:val="FF3000"/>
                <w:spacing w:val="-2"/>
                <w:sz w:val="18"/>
              </w:rPr>
              <w:t>decision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Appellant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declaration</w:t>
            </w:r>
          </w:p>
          <w:p>
            <w:pPr>
              <w:pStyle w:val="TableParagraph"/>
              <w:spacing w:line="273" w:lineRule="auto" w:before="22"/>
              <w:ind w:hanging="1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here,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confirming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understand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appeal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decide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whether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process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internal assessment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conformed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published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requirements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awarding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body’s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specification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subject-specific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associated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documents.</w:t>
            </w:r>
          </w:p>
          <w:p>
            <w:pPr>
              <w:pStyle w:val="TableParagraph"/>
              <w:tabs>
                <w:tab w:pos="6124" w:val="left" w:leader="none"/>
              </w:tabs>
              <w:spacing w:befor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>
        <w:trPr>
          <w:trHeight w:val="1130" w:hRule="atLeast"/>
        </w:trPr>
        <w:tc>
          <w:tcPr>
            <w:tcW w:w="9989" w:type="dxa"/>
            <w:gridSpan w:val="4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color w:val="FF3000"/>
                <w:sz w:val="20"/>
              </w:rPr>
              <w:t>Appeal</w:t>
            </w:r>
            <w:r>
              <w:rPr>
                <w:b/>
                <w:color w:val="FF3000"/>
                <w:spacing w:val="-15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against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the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centre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decision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not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to</w:t>
            </w:r>
            <w:r>
              <w:rPr>
                <w:b/>
                <w:color w:val="FF3000"/>
                <w:spacing w:val="-9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support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an</w:t>
            </w:r>
            <w:r>
              <w:rPr>
                <w:b/>
                <w:color w:val="FF3000"/>
                <w:spacing w:val="-9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enquiry</w:t>
            </w:r>
            <w:r>
              <w:rPr>
                <w:b/>
                <w:color w:val="FF3000"/>
                <w:spacing w:val="-16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about</w:t>
            </w:r>
            <w:r>
              <w:rPr>
                <w:b/>
                <w:color w:val="FF3000"/>
                <w:spacing w:val="-11"/>
                <w:sz w:val="20"/>
              </w:rPr>
              <w:t> </w:t>
            </w:r>
            <w:r>
              <w:rPr>
                <w:b/>
                <w:color w:val="FF3000"/>
                <w:spacing w:val="-2"/>
                <w:sz w:val="20"/>
              </w:rPr>
              <w:t>results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Appellant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declaration</w:t>
            </w:r>
          </w:p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confirming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believe</w:t>
            </w:r>
            <w:r>
              <w:rPr>
                <w:spacing w:val="-5"/>
                <w:sz w:val="16"/>
              </w:rPr>
              <w:t> </w:t>
            </w:r>
            <w:r>
              <w:rPr>
                <w:strike/>
                <w:sz w:val="16"/>
              </w:rPr>
              <w:t>fee</w:t>
            </w:r>
            <w:r>
              <w:rPr>
                <w:strike w:val="0"/>
                <w:sz w:val="16"/>
              </w:rPr>
              <w:t>l</w:t>
            </w:r>
            <w:r>
              <w:rPr>
                <w:strike w:val="0"/>
                <w:spacing w:val="-4"/>
                <w:sz w:val="16"/>
              </w:rPr>
              <w:t> </w:t>
            </w:r>
            <w:r>
              <w:rPr>
                <w:strike w:val="0"/>
                <w:sz w:val="16"/>
              </w:rPr>
              <w:t>there</w:t>
            </w:r>
            <w:r>
              <w:rPr>
                <w:strike w:val="0"/>
                <w:spacing w:val="-5"/>
                <w:sz w:val="16"/>
              </w:rPr>
              <w:t> </w:t>
            </w:r>
            <w:r>
              <w:rPr>
                <w:strike w:val="0"/>
                <w:sz w:val="16"/>
              </w:rPr>
              <w:t>are</w:t>
            </w:r>
            <w:r>
              <w:rPr>
                <w:strike w:val="0"/>
                <w:spacing w:val="-5"/>
                <w:sz w:val="16"/>
              </w:rPr>
              <w:t> </w:t>
            </w:r>
            <w:r>
              <w:rPr>
                <w:strike w:val="0"/>
                <w:sz w:val="16"/>
              </w:rPr>
              <w:t>grounds</w:t>
            </w:r>
            <w:r>
              <w:rPr>
                <w:strike w:val="0"/>
                <w:spacing w:val="-4"/>
                <w:sz w:val="16"/>
              </w:rPr>
              <w:t> </w:t>
            </w:r>
            <w:r>
              <w:rPr>
                <w:strike w:val="0"/>
                <w:sz w:val="16"/>
              </w:rPr>
              <w:t>to</w:t>
            </w:r>
            <w:r>
              <w:rPr>
                <w:strike w:val="0"/>
                <w:spacing w:val="-9"/>
                <w:sz w:val="16"/>
              </w:rPr>
              <w:t> </w:t>
            </w:r>
            <w:r>
              <w:rPr>
                <w:strike w:val="0"/>
                <w:sz w:val="16"/>
              </w:rPr>
              <w:t>appeal</w:t>
            </w:r>
            <w:r>
              <w:rPr>
                <w:strike w:val="0"/>
                <w:spacing w:val="-4"/>
                <w:sz w:val="16"/>
              </w:rPr>
              <w:t> </w:t>
            </w:r>
            <w:r>
              <w:rPr>
                <w:strike w:val="0"/>
                <w:sz w:val="16"/>
              </w:rPr>
              <w:t>against</w:t>
            </w:r>
            <w:r>
              <w:rPr>
                <w:strike w:val="0"/>
                <w:spacing w:val="-3"/>
                <w:sz w:val="16"/>
              </w:rPr>
              <w:t> </w:t>
            </w:r>
            <w:r>
              <w:rPr>
                <w:strike w:val="0"/>
                <w:sz w:val="16"/>
              </w:rPr>
              <w:t>the</w:t>
            </w:r>
            <w:r>
              <w:rPr>
                <w:strike w:val="0"/>
                <w:spacing w:val="-5"/>
                <w:sz w:val="16"/>
              </w:rPr>
              <w:t> </w:t>
            </w:r>
            <w:r>
              <w:rPr>
                <w:strike w:val="0"/>
                <w:sz w:val="16"/>
              </w:rPr>
              <w:t>centre’s</w:t>
            </w:r>
            <w:r>
              <w:rPr>
                <w:strike w:val="0"/>
                <w:spacing w:val="-3"/>
                <w:sz w:val="16"/>
              </w:rPr>
              <w:t> </w:t>
            </w:r>
            <w:r>
              <w:rPr>
                <w:strike w:val="0"/>
                <w:spacing w:val="-2"/>
                <w:sz w:val="16"/>
              </w:rPr>
              <w:t>decision.</w:t>
            </w:r>
          </w:p>
          <w:p>
            <w:pPr>
              <w:pStyle w:val="TableParagraph"/>
              <w:spacing w:before="38"/>
              <w:ind w:left="0"/>
              <w:rPr>
                <w:sz w:val="16"/>
              </w:rPr>
            </w:pPr>
          </w:p>
          <w:p>
            <w:pPr>
              <w:pStyle w:val="TableParagraph"/>
              <w:tabs>
                <w:tab w:pos="6124" w:val="left" w:leader="none"/>
              </w:tabs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>
        <w:trPr>
          <w:trHeight w:val="1254" w:hRule="atLeast"/>
        </w:trPr>
        <w:tc>
          <w:tcPr>
            <w:tcW w:w="9989" w:type="dxa"/>
            <w:gridSpan w:val="4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color w:val="FF3000"/>
                <w:sz w:val="20"/>
              </w:rPr>
              <w:t>Appeal</w:t>
            </w:r>
            <w:r>
              <w:rPr>
                <w:b/>
                <w:color w:val="FF3000"/>
                <w:spacing w:val="-15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against</w:t>
            </w:r>
            <w:r>
              <w:rPr>
                <w:b/>
                <w:color w:val="FF3000"/>
                <w:spacing w:val="-17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the</w:t>
            </w:r>
            <w:r>
              <w:rPr>
                <w:b/>
                <w:color w:val="FF3000"/>
                <w:spacing w:val="25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centre’s</w:t>
            </w:r>
            <w:r>
              <w:rPr>
                <w:b/>
                <w:color w:val="FF3000"/>
                <w:spacing w:val="38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decision</w:t>
            </w:r>
            <w:r>
              <w:rPr>
                <w:b/>
                <w:color w:val="FF3000"/>
                <w:spacing w:val="36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relating</w:t>
            </w:r>
            <w:r>
              <w:rPr>
                <w:b/>
                <w:color w:val="FF3000"/>
                <w:spacing w:val="36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to</w:t>
            </w:r>
            <w:r>
              <w:rPr>
                <w:b/>
                <w:color w:val="FF3000"/>
                <w:spacing w:val="40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access</w:t>
            </w:r>
            <w:r>
              <w:rPr>
                <w:b/>
                <w:color w:val="FF3000"/>
                <w:spacing w:val="37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arrangements</w:t>
            </w:r>
            <w:r>
              <w:rPr>
                <w:b/>
                <w:color w:val="FF3000"/>
                <w:spacing w:val="-9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or</w:t>
            </w:r>
            <w:r>
              <w:rPr>
                <w:b/>
                <w:color w:val="FF3000"/>
                <w:spacing w:val="37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special</w:t>
            </w:r>
            <w:r>
              <w:rPr>
                <w:b/>
                <w:color w:val="FF3000"/>
                <w:spacing w:val="38"/>
                <w:sz w:val="20"/>
              </w:rPr>
              <w:t> </w:t>
            </w:r>
            <w:r>
              <w:rPr>
                <w:b/>
                <w:color w:val="FF3000"/>
                <w:spacing w:val="-2"/>
                <w:sz w:val="20"/>
              </w:rPr>
              <w:t>consideration</w:t>
            </w:r>
          </w:p>
          <w:p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Appellant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declaration</w:t>
            </w:r>
          </w:p>
          <w:p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here,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confirming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believe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grounds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appeal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against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centre’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decision</w:t>
            </w:r>
          </w:p>
          <w:p>
            <w:pPr>
              <w:pStyle w:val="TableParagraph"/>
              <w:spacing w:before="146"/>
              <w:ind w:left="0"/>
              <w:rPr>
                <w:sz w:val="16"/>
              </w:rPr>
            </w:pPr>
          </w:p>
          <w:p>
            <w:pPr>
              <w:pStyle w:val="TableParagraph"/>
              <w:tabs>
                <w:tab w:pos="6083" w:val="left" w:leader="none"/>
              </w:tabs>
              <w:spacing w:line="153" w:lineRule="exact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>
        <w:trPr>
          <w:trHeight w:val="1545" w:hRule="atLeast"/>
        </w:trPr>
        <w:tc>
          <w:tcPr>
            <w:tcW w:w="9989" w:type="dxa"/>
            <w:gridSpan w:val="4"/>
          </w:tcPr>
          <w:p>
            <w:pPr>
              <w:pStyle w:val="TableParagraph"/>
              <w:spacing w:before="47"/>
              <w:jc w:val="both"/>
              <w:rPr>
                <w:b/>
                <w:sz w:val="20"/>
              </w:rPr>
            </w:pPr>
            <w:r>
              <w:rPr>
                <w:b/>
                <w:color w:val="FF3000"/>
                <w:sz w:val="20"/>
              </w:rPr>
              <w:t>Appeal</w:t>
            </w:r>
            <w:r>
              <w:rPr>
                <w:b/>
                <w:color w:val="FF3000"/>
                <w:spacing w:val="-15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against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the</w:t>
            </w:r>
            <w:r>
              <w:rPr>
                <w:b/>
                <w:color w:val="FF3000"/>
                <w:spacing w:val="-14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outcome</w:t>
            </w:r>
            <w:r>
              <w:rPr>
                <w:b/>
                <w:color w:val="FF3000"/>
                <w:spacing w:val="-16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of</w:t>
            </w:r>
            <w:r>
              <w:rPr>
                <w:b/>
                <w:color w:val="FF3000"/>
                <w:spacing w:val="-8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an</w:t>
            </w:r>
            <w:r>
              <w:rPr>
                <w:b/>
                <w:color w:val="FF3000"/>
                <w:spacing w:val="-7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enquiry</w:t>
            </w:r>
            <w:r>
              <w:rPr>
                <w:b/>
                <w:color w:val="FF3000"/>
                <w:spacing w:val="-16"/>
                <w:sz w:val="20"/>
              </w:rPr>
              <w:t> </w:t>
            </w:r>
            <w:r>
              <w:rPr>
                <w:b/>
                <w:color w:val="FF3000"/>
                <w:sz w:val="20"/>
              </w:rPr>
              <w:t>about</w:t>
            </w:r>
            <w:r>
              <w:rPr>
                <w:b/>
                <w:color w:val="FF3000"/>
                <w:spacing w:val="-12"/>
                <w:sz w:val="20"/>
              </w:rPr>
              <w:t> </w:t>
            </w:r>
            <w:r>
              <w:rPr>
                <w:b/>
                <w:color w:val="FF3000"/>
                <w:spacing w:val="-2"/>
                <w:sz w:val="20"/>
              </w:rPr>
              <w:t>results</w:t>
            </w:r>
          </w:p>
          <w:p>
            <w:pPr>
              <w:pStyle w:val="TableParagraph"/>
              <w:spacing w:before="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Appellant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declaration</w:t>
            </w:r>
          </w:p>
          <w:p>
            <w:pPr>
              <w:pStyle w:val="TableParagraph"/>
              <w:spacing w:before="4"/>
              <w:ind w:right="-44"/>
              <w:jc w:val="both"/>
              <w:rPr>
                <w:sz w:val="16"/>
              </w:rPr>
            </w:pPr>
            <w:r>
              <w:rPr>
                <w:sz w:val="16"/>
              </w:rPr>
              <w:t>By signing here, I am confirming I understand that the grounds for my appeal must relate to the awarding body’s procedures or the application of the post-result service procedures. I understand that appeals do not generally involve further reviews of marking candidates work.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confirm that I will pay in advance any fees which may be charged by the awarding body for 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appeal.</w:t>
            </w:r>
          </w:p>
          <w:p>
            <w:pPr>
              <w:pStyle w:val="TableParagraph"/>
              <w:spacing w:before="13"/>
              <w:ind w:left="0"/>
              <w:rPr>
                <w:sz w:val="16"/>
              </w:rPr>
            </w:pPr>
          </w:p>
          <w:p>
            <w:pPr>
              <w:pStyle w:val="TableParagraph"/>
              <w:tabs>
                <w:tab w:pos="6196" w:val="left" w:leader="none"/>
              </w:tabs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</w:tbl>
    <w:p>
      <w:pPr>
        <w:pStyle w:val="BodyText"/>
        <w:spacing w:before="49"/>
        <w:ind w:left="0" w:firstLine="0"/>
      </w:pPr>
    </w:p>
    <w:p>
      <w:pPr>
        <w:spacing w:before="0"/>
        <w:ind w:left="3936" w:right="0" w:hanging="2744"/>
        <w:jc w:val="left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appellant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declaration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against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relevant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appeal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must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be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signed,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dated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returned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EO,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timescale indicated in the internal appeals procedure.</w:t>
      </w:r>
    </w:p>
    <w:sectPr>
      <w:type w:val="continuous"/>
      <w:pgSz w:w="11940" w:h="16860"/>
      <w:pgMar w:top="620" w:bottom="280" w:left="566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"/>
      <w:lvlJc w:val="left"/>
      <w:pPr>
        <w:ind w:left="1114" w:hanging="360"/>
      </w:pPr>
      <w:rPr>
        <w:rFonts w:hint="default" w:ascii="Wingdings 2" w:hAnsi="Wingdings 2" w:eastAsia="Wingdings 2" w:cs="Wingdings 2"/>
        <w:b/>
        <w:bCs/>
        <w:i w:val="0"/>
        <w:iCs w:val="0"/>
        <w:color w:val="003399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"/>
      <w:lvlJc w:val="left"/>
      <w:pPr>
        <w:ind w:left="874" w:hanging="521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6" w:hanging="5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6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5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1574" w:hanging="52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5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1"/>
      <w:ind w:left="153" w:right="4052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574" w:hanging="5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dc:subject>This policy is reviewed annually to ensure compliance with current regulations</dc:subject>
  <dc:title>Disability policy (exams)2016/17</dc:title>
  <dcterms:created xsi:type="dcterms:W3CDTF">2026-05-21T12:18:37Z</dcterms:created>
  <dcterms:modified xsi:type="dcterms:W3CDTF">2026-05-21T12:18:37Z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25.1.5</vt:lpwstr>
  </property>
</Properties>
</file>